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3" w:rsidRPr="001F38D3" w:rsidRDefault="001F38D3" w:rsidP="001F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200400"/>
            <wp:effectExtent l="0" t="0" r="0" b="0"/>
            <wp:docPr id="1" name="Рисунок 1" descr="Кроссворд «Византия в эпоху Юстиниа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изантия в эпоху Юстиниан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1. Книги римских и византийских законов II – начала VI веков.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2. Краткий официальный учебник по праву.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3. Партии, своеобразные политические клубы, которые вели постоянную борьбу за влияние на императора.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4. Книги высказываний римских юристов.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5. Новые законы царствования Юстиниана.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D3">
        <w:rPr>
          <w:rFonts w:ascii="Times New Roman" w:eastAsia="Times New Roman" w:hAnsi="Times New Roman" w:cs="Times New Roman"/>
          <w:sz w:val="24"/>
          <w:szCs w:val="24"/>
        </w:rPr>
        <w:t>6. Император, при котором были возвращены под контроль Восточной Римской империи лежавшие на побережье Средиземного моря области.</w:t>
      </w:r>
    </w:p>
    <w:p w:rsidR="00072AD2" w:rsidRDefault="00072AD2"/>
    <w:sectPr w:rsidR="0007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F38D3"/>
    <w:rsid w:val="00072AD2"/>
    <w:rsid w:val="001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2017-02-06T08:29:00Z</dcterms:created>
  <dcterms:modified xsi:type="dcterms:W3CDTF">2017-02-06T08:29:00Z</dcterms:modified>
</cp:coreProperties>
</file>